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77C7E" w14:textId="77777777" w:rsidR="007654F6" w:rsidRPr="007654F6" w:rsidRDefault="007654F6" w:rsidP="007654F6">
      <w:r w:rsidRPr="007654F6">
        <w:fldChar w:fldCharType="begin"/>
      </w:r>
      <w:r w:rsidRPr="007654F6">
        <w:instrText>HYPERLINK "https://chatgpt.com/c/6781551a-261c-8007-aadf-c34e9ce1b776" \l "main"</w:instrText>
      </w:r>
      <w:r w:rsidRPr="007654F6">
        <w:fldChar w:fldCharType="separate"/>
      </w:r>
      <w:r w:rsidRPr="007654F6">
        <w:rPr>
          <w:rStyle w:val="Hyperlink"/>
        </w:rPr>
        <w:t>Skip to content</w:t>
      </w:r>
      <w:r w:rsidRPr="007654F6">
        <w:fldChar w:fldCharType="end"/>
      </w:r>
    </w:p>
    <w:p w14:paraId="50CFEDC0" w14:textId="77777777" w:rsidR="007654F6" w:rsidRPr="007654F6" w:rsidRDefault="007654F6" w:rsidP="007654F6">
      <w:pPr>
        <w:rPr>
          <w:b/>
          <w:bCs/>
        </w:rPr>
      </w:pPr>
      <w:r w:rsidRPr="007654F6">
        <w:rPr>
          <w:b/>
          <w:bCs/>
        </w:rPr>
        <w:t>Chat history</w:t>
      </w:r>
    </w:p>
    <w:p w14:paraId="53E0C1E1" w14:textId="77777777" w:rsidR="007654F6" w:rsidRPr="007654F6" w:rsidRDefault="007654F6" w:rsidP="007654F6">
      <w:pPr>
        <w:rPr>
          <w:b/>
          <w:bCs/>
        </w:rPr>
      </w:pPr>
      <w:r w:rsidRPr="007654F6">
        <w:rPr>
          <w:b/>
          <w:bCs/>
        </w:rPr>
        <w:t>You said:</w:t>
      </w:r>
    </w:p>
    <w:p w14:paraId="707ABA7D" w14:textId="77777777" w:rsidR="007654F6" w:rsidRPr="007654F6" w:rsidRDefault="007654F6" w:rsidP="007654F6">
      <w:r w:rsidRPr="007654F6">
        <w:t>I'm going to upload a two-page summary of a recent performance audit. I'd like you to give me a short summary (</w:t>
      </w:r>
      <w:proofErr w:type="gramStart"/>
      <w:r w:rsidRPr="007654F6">
        <w:t>1 paragraph</w:t>
      </w:r>
      <w:proofErr w:type="gramEnd"/>
      <w:r w:rsidRPr="007654F6">
        <w:t>). I want to know the title, generally what the audit was about, what we found, and our recommendations. Understand?</w:t>
      </w:r>
    </w:p>
    <w:p w14:paraId="2F5140E0" w14:textId="77777777" w:rsidR="007654F6" w:rsidRPr="007654F6" w:rsidRDefault="007654F6" w:rsidP="007654F6">
      <w:pPr>
        <w:rPr>
          <w:b/>
          <w:bCs/>
        </w:rPr>
      </w:pPr>
      <w:r w:rsidRPr="007654F6">
        <w:rPr>
          <w:b/>
          <w:bCs/>
        </w:rPr>
        <w:t>ChatGPT said:</w:t>
      </w:r>
    </w:p>
    <w:p w14:paraId="5B32A7C4" w14:textId="77777777" w:rsidR="007654F6" w:rsidRPr="007654F6" w:rsidRDefault="007654F6" w:rsidP="007654F6">
      <w:r w:rsidRPr="007654F6">
        <w:t>Got it! Once you upload the document, I'll summarize the title, the general focus of the audit, the findings, and the recommendations in one paragraph.</w:t>
      </w:r>
    </w:p>
    <w:p w14:paraId="415AF49A" w14:textId="77777777" w:rsidR="007654F6" w:rsidRPr="007654F6" w:rsidRDefault="007654F6" w:rsidP="007654F6">
      <w:pPr>
        <w:rPr>
          <w:b/>
          <w:bCs/>
        </w:rPr>
      </w:pPr>
      <w:r w:rsidRPr="007654F6">
        <w:rPr>
          <w:b/>
          <w:bCs/>
        </w:rPr>
        <w:t>You said:</w:t>
      </w:r>
    </w:p>
    <w:p w14:paraId="59668F16" w14:textId="77777777" w:rsidR="007654F6" w:rsidRPr="007654F6" w:rsidRDefault="007654F6" w:rsidP="007654F6">
      <w:pPr>
        <w:rPr>
          <w:b/>
          <w:bCs/>
        </w:rPr>
      </w:pPr>
      <w:commentRangeStart w:id="0"/>
      <w:r w:rsidRPr="007654F6">
        <w:rPr>
          <w:b/>
          <w:bCs/>
        </w:rPr>
        <w:t>PA_Inappropriate_Dual_Payroll_Payments_2-pager.pdf</w:t>
      </w:r>
      <w:commentRangeEnd w:id="0"/>
      <w:r w:rsidR="00D94698">
        <w:rPr>
          <w:rStyle w:val="CommentReference"/>
        </w:rPr>
        <w:commentReference w:id="0"/>
      </w:r>
    </w:p>
    <w:p w14:paraId="4E8C2259" w14:textId="77777777" w:rsidR="007654F6" w:rsidRPr="007654F6" w:rsidRDefault="007654F6" w:rsidP="007654F6">
      <w:r w:rsidRPr="007654F6">
        <w:t>PDF</w:t>
      </w:r>
    </w:p>
    <w:p w14:paraId="710E84A0" w14:textId="77777777" w:rsidR="007654F6" w:rsidRPr="007654F6" w:rsidRDefault="007654F6" w:rsidP="007654F6">
      <w:pPr>
        <w:rPr>
          <w:b/>
          <w:bCs/>
        </w:rPr>
      </w:pPr>
      <w:r w:rsidRPr="007654F6">
        <w:rPr>
          <w:b/>
          <w:bCs/>
        </w:rPr>
        <w:t>ChatGPT said:</w:t>
      </w:r>
    </w:p>
    <w:p w14:paraId="5502D53A" w14:textId="77777777" w:rsidR="007654F6" w:rsidRPr="007654F6" w:rsidRDefault="007654F6" w:rsidP="007654F6">
      <w:r w:rsidRPr="007654F6">
        <w:t xml:space="preserve">The performance audit, titled "Reducing the Risk of Inappropriate Dual Payroll Payments," focused on the risks of state employees holding two jobs concurrently within state agencies (dual employment). The audit identified issues such as inadequate coordination between agencies, leading to scheduling conflicts, incorrect overtime </w:t>
      </w:r>
      <w:proofErr w:type="gramStart"/>
      <w:r w:rsidRPr="007654F6">
        <w:t>pay</w:t>
      </w:r>
      <w:proofErr w:type="gramEnd"/>
      <w:r w:rsidRPr="007654F6">
        <w:t xml:space="preserve">, and outdated records of dual employment. The State Auditor's Office found that most agencies rely on employees to self-disclose their dual employment status, which can pose risks when transparency and coordination are lacking. The audit recommended that the Office of Financial Management (OFM) provide additional guidance on managing dual employment, help agencies identify dual-employed workers, and ensure payroll systems have controls to prevent inappropriate payments. Although no formal recommendations were made to the five </w:t>
      </w:r>
      <w:proofErr w:type="gramStart"/>
      <w:r w:rsidRPr="007654F6">
        <w:t>interviewed agencies</w:t>
      </w:r>
      <w:proofErr w:type="gramEnd"/>
      <w:r w:rsidRPr="007654F6">
        <w:t>, the report emphasized the importance of all state agencies adopting best practices to manage dual employment effectively.</w:t>
      </w:r>
    </w:p>
    <w:p w14:paraId="68BAE982" w14:textId="77777777" w:rsidR="007654F6" w:rsidRPr="007654F6" w:rsidRDefault="007654F6" w:rsidP="007654F6">
      <w:pPr>
        <w:rPr>
          <w:b/>
          <w:bCs/>
        </w:rPr>
      </w:pPr>
      <w:r w:rsidRPr="007654F6">
        <w:rPr>
          <w:b/>
          <w:bCs/>
        </w:rPr>
        <w:t>Sources</w:t>
      </w:r>
    </w:p>
    <w:p w14:paraId="659D1F74" w14:textId="77777777" w:rsidR="007654F6" w:rsidRPr="007654F6" w:rsidRDefault="007654F6" w:rsidP="007654F6">
      <w:pPr>
        <w:rPr>
          <w:b/>
          <w:bCs/>
        </w:rPr>
      </w:pPr>
      <w:r w:rsidRPr="007654F6">
        <w:rPr>
          <w:b/>
          <w:bCs/>
        </w:rPr>
        <w:t>You said:</w:t>
      </w:r>
    </w:p>
    <w:p w14:paraId="57CC8F50" w14:textId="77777777" w:rsidR="007654F6" w:rsidRPr="007654F6" w:rsidRDefault="007654F6" w:rsidP="007654F6">
      <w:r w:rsidRPr="007654F6">
        <w:t>Can you cut that in half?</w:t>
      </w:r>
    </w:p>
    <w:p w14:paraId="5DA2D8A9" w14:textId="77777777" w:rsidR="007654F6" w:rsidRPr="007654F6" w:rsidRDefault="007654F6" w:rsidP="007654F6">
      <w:pPr>
        <w:rPr>
          <w:b/>
          <w:bCs/>
        </w:rPr>
      </w:pPr>
      <w:r w:rsidRPr="007654F6">
        <w:rPr>
          <w:b/>
          <w:bCs/>
        </w:rPr>
        <w:t>ChatGPT said:</w:t>
      </w:r>
    </w:p>
    <w:p w14:paraId="4B5EBB1D" w14:textId="77777777" w:rsidR="007654F6" w:rsidRPr="007654F6" w:rsidRDefault="007654F6" w:rsidP="007654F6">
      <w:r w:rsidRPr="007654F6">
        <w:t xml:space="preserve">The audit, "Reducing the Risk of Inappropriate Dual Payroll Payments," examined risks of dual employment within state agencies. It found issues like inadequate coordination </w:t>
      </w:r>
      <w:r w:rsidRPr="007654F6">
        <w:lastRenderedPageBreak/>
        <w:t>between agencies, leading to scheduling conflicts and inaccurate payroll. Many agencies rely on employees to self-report dual employment, which poses risks. The audit recommended that the Office of Financial Management (OFM) offer better guidance, help agencies identify dual-employed workers, and implement payroll controls to prevent inappropriate payments.</w:t>
      </w:r>
    </w:p>
    <w:p w14:paraId="0C3D1AB6" w14:textId="77777777" w:rsidR="007654F6" w:rsidRPr="007654F6" w:rsidRDefault="007654F6" w:rsidP="007654F6">
      <w:pPr>
        <w:rPr>
          <w:b/>
          <w:bCs/>
        </w:rPr>
      </w:pPr>
      <w:r w:rsidRPr="007654F6">
        <w:rPr>
          <w:b/>
          <w:bCs/>
        </w:rPr>
        <w:t>Sources</w:t>
      </w:r>
    </w:p>
    <w:p w14:paraId="1F365D0F" w14:textId="77777777" w:rsidR="007654F6" w:rsidRPr="007654F6" w:rsidRDefault="007654F6" w:rsidP="007654F6">
      <w:pPr>
        <w:rPr>
          <w:b/>
          <w:bCs/>
        </w:rPr>
      </w:pPr>
      <w:r w:rsidRPr="007654F6">
        <w:rPr>
          <w:b/>
          <w:bCs/>
        </w:rPr>
        <w:t>You said:</w:t>
      </w:r>
    </w:p>
    <w:p w14:paraId="039CD0FC" w14:textId="77777777" w:rsidR="007654F6" w:rsidRPr="007654F6" w:rsidRDefault="007654F6" w:rsidP="007654F6">
      <w:r w:rsidRPr="007654F6">
        <w:t xml:space="preserve">This is an audit objective that we need to evaluate in a different performance audit. How could the Housing Finance Commission improve tenant outcomes for projects with tenant purchase options? Please break this down into some more detailed </w:t>
      </w:r>
      <w:proofErr w:type="spellStart"/>
      <w:r w:rsidRPr="007654F6">
        <w:t>subquestions</w:t>
      </w:r>
      <w:proofErr w:type="spellEnd"/>
      <w:r w:rsidRPr="007654F6">
        <w:t xml:space="preserve"> that we should answer </w:t>
      </w:r>
      <w:proofErr w:type="gramStart"/>
      <w:r w:rsidRPr="007654F6">
        <w:t>in order to</w:t>
      </w:r>
      <w:proofErr w:type="gramEnd"/>
      <w:r w:rsidRPr="007654F6">
        <w:t xml:space="preserve"> get to the big answer. Before you respond, please ask up to 3 questions that will help you give a better response.</w:t>
      </w:r>
    </w:p>
    <w:p w14:paraId="320A006E" w14:textId="77777777" w:rsidR="007654F6" w:rsidRPr="007654F6" w:rsidRDefault="007654F6" w:rsidP="007654F6">
      <w:pPr>
        <w:rPr>
          <w:b/>
          <w:bCs/>
        </w:rPr>
      </w:pPr>
      <w:r w:rsidRPr="007654F6">
        <w:rPr>
          <w:b/>
          <w:bCs/>
        </w:rPr>
        <w:t>ChatGPT said:</w:t>
      </w:r>
    </w:p>
    <w:p w14:paraId="44BF4E3B" w14:textId="77777777" w:rsidR="007654F6" w:rsidRPr="007654F6" w:rsidRDefault="007654F6" w:rsidP="007654F6">
      <w:r w:rsidRPr="007654F6">
        <w:t xml:space="preserve">To help break down the objective </w:t>
      </w:r>
      <w:proofErr w:type="gramStart"/>
      <w:r w:rsidRPr="007654F6">
        <w:t>about</w:t>
      </w:r>
      <w:proofErr w:type="gramEnd"/>
      <w:r w:rsidRPr="007654F6">
        <w:t xml:space="preserve"> improving tenant outcomes for projects with tenant purchase options, I'd like to clarify a few points first:</w:t>
      </w:r>
    </w:p>
    <w:p w14:paraId="7A291834" w14:textId="77777777" w:rsidR="007654F6" w:rsidRPr="007654F6" w:rsidRDefault="007654F6" w:rsidP="007654F6">
      <w:pPr>
        <w:numPr>
          <w:ilvl w:val="0"/>
          <w:numId w:val="1"/>
        </w:numPr>
      </w:pPr>
      <w:r w:rsidRPr="007654F6">
        <w:t>Are there any specific challenges or gaps you've already identified in tenant outcomes related to these purchase options, such as affordability, financing, or legal barriers?</w:t>
      </w:r>
    </w:p>
    <w:p w14:paraId="15927CE0" w14:textId="77777777" w:rsidR="007654F6" w:rsidRPr="007654F6" w:rsidRDefault="007654F6" w:rsidP="007654F6">
      <w:pPr>
        <w:numPr>
          <w:ilvl w:val="0"/>
          <w:numId w:val="1"/>
        </w:numPr>
      </w:pPr>
      <w:r w:rsidRPr="007654F6">
        <w:t>What kinds of outcomes are you prioritizing—financial stability for tenants, long-term homeownership, tenant satisfaction, or another factor?</w:t>
      </w:r>
    </w:p>
    <w:p w14:paraId="2FCD6C20" w14:textId="77777777" w:rsidR="007654F6" w:rsidRPr="007654F6" w:rsidRDefault="007654F6" w:rsidP="007654F6">
      <w:pPr>
        <w:numPr>
          <w:ilvl w:val="0"/>
          <w:numId w:val="1"/>
        </w:numPr>
      </w:pPr>
      <w:r w:rsidRPr="007654F6">
        <w:t>Are there particular metrics or existing data sources you want to include in the evaluation (e.g., tenant demographics, project financials, historical outcomes of similar programs)?</w:t>
      </w:r>
    </w:p>
    <w:p w14:paraId="76B9DDCA" w14:textId="77777777" w:rsidR="007654F6" w:rsidRPr="007654F6" w:rsidRDefault="007654F6" w:rsidP="007654F6">
      <w:r w:rsidRPr="007654F6">
        <w:t xml:space="preserve">These will help ensure the </w:t>
      </w:r>
      <w:proofErr w:type="spellStart"/>
      <w:r w:rsidRPr="007654F6">
        <w:t>subquestions</w:t>
      </w:r>
      <w:proofErr w:type="spellEnd"/>
      <w:r w:rsidRPr="007654F6">
        <w:t xml:space="preserve"> I suggest are aligned with the focus and data available for the audit.</w:t>
      </w:r>
    </w:p>
    <w:p w14:paraId="537E8A3D" w14:textId="77777777" w:rsidR="007654F6" w:rsidRPr="007654F6" w:rsidRDefault="007654F6" w:rsidP="007654F6">
      <w:pPr>
        <w:rPr>
          <w:b/>
          <w:bCs/>
        </w:rPr>
      </w:pPr>
      <w:r w:rsidRPr="007654F6">
        <w:rPr>
          <w:b/>
          <w:bCs/>
        </w:rPr>
        <w:t>You said:</w:t>
      </w:r>
    </w:p>
    <w:p w14:paraId="388A29BE" w14:textId="77777777" w:rsidR="007654F6" w:rsidRPr="007654F6" w:rsidRDefault="007654F6" w:rsidP="007654F6">
      <w:r w:rsidRPr="007654F6">
        <w:t xml:space="preserve">I don't have answer to any of those. Please go ahead and give me the </w:t>
      </w:r>
      <w:proofErr w:type="spellStart"/>
      <w:r w:rsidRPr="007654F6">
        <w:t>subquestions</w:t>
      </w:r>
      <w:proofErr w:type="spellEnd"/>
      <w:r w:rsidRPr="007654F6">
        <w:t xml:space="preserve"> you come up with.</w:t>
      </w:r>
    </w:p>
    <w:p w14:paraId="277020DC" w14:textId="77777777" w:rsidR="007654F6" w:rsidRPr="007654F6" w:rsidRDefault="007654F6" w:rsidP="007654F6">
      <w:pPr>
        <w:rPr>
          <w:b/>
          <w:bCs/>
        </w:rPr>
      </w:pPr>
      <w:r w:rsidRPr="007654F6">
        <w:rPr>
          <w:b/>
          <w:bCs/>
        </w:rPr>
        <w:t>ChatGPT said:</w:t>
      </w:r>
    </w:p>
    <w:p w14:paraId="13A972AA" w14:textId="77777777" w:rsidR="007654F6" w:rsidRPr="007654F6" w:rsidRDefault="007654F6" w:rsidP="007654F6">
      <w:r w:rsidRPr="007654F6">
        <w:t xml:space="preserve">Here are some detailed </w:t>
      </w:r>
      <w:proofErr w:type="spellStart"/>
      <w:proofErr w:type="gramStart"/>
      <w:r w:rsidRPr="007654F6">
        <w:t>subquestions</w:t>
      </w:r>
      <w:proofErr w:type="spellEnd"/>
      <w:proofErr w:type="gramEnd"/>
      <w:r w:rsidRPr="007654F6">
        <w:t xml:space="preserve"> to evaluate how the Housing Finance Commission could improve tenant outcomes for projects with tenant purchase options:</w:t>
      </w:r>
    </w:p>
    <w:p w14:paraId="66A095F5" w14:textId="77777777" w:rsidR="007654F6" w:rsidRPr="007654F6" w:rsidRDefault="007654F6" w:rsidP="007654F6">
      <w:pPr>
        <w:numPr>
          <w:ilvl w:val="0"/>
          <w:numId w:val="2"/>
        </w:numPr>
      </w:pPr>
      <w:r w:rsidRPr="007654F6">
        <w:rPr>
          <w:b/>
          <w:bCs/>
        </w:rPr>
        <w:lastRenderedPageBreak/>
        <w:t>Affordability and Access</w:t>
      </w:r>
      <w:r w:rsidRPr="007654F6">
        <w:t>:</w:t>
      </w:r>
    </w:p>
    <w:p w14:paraId="39A5CCAB" w14:textId="77777777" w:rsidR="007654F6" w:rsidRPr="007654F6" w:rsidRDefault="007654F6" w:rsidP="007654F6">
      <w:pPr>
        <w:numPr>
          <w:ilvl w:val="1"/>
          <w:numId w:val="2"/>
        </w:numPr>
      </w:pPr>
      <w:r w:rsidRPr="007654F6">
        <w:t>What are the financial barriers that tenants face in exercising purchase options (e.g., down payments, credit requirements)?</w:t>
      </w:r>
    </w:p>
    <w:p w14:paraId="28A98ED8" w14:textId="77777777" w:rsidR="007654F6" w:rsidRPr="007654F6" w:rsidRDefault="007654F6" w:rsidP="007654F6">
      <w:pPr>
        <w:numPr>
          <w:ilvl w:val="1"/>
          <w:numId w:val="2"/>
        </w:numPr>
      </w:pPr>
      <w:r w:rsidRPr="007654F6">
        <w:t>How can the Commission make these options more affordable or accessible for lower-income tenants?</w:t>
      </w:r>
    </w:p>
    <w:p w14:paraId="0BD9BC54" w14:textId="77777777" w:rsidR="007654F6" w:rsidRPr="007654F6" w:rsidRDefault="007654F6" w:rsidP="007654F6">
      <w:pPr>
        <w:numPr>
          <w:ilvl w:val="1"/>
          <w:numId w:val="2"/>
        </w:numPr>
      </w:pPr>
      <w:r w:rsidRPr="007654F6">
        <w:t>Are there programs or financial assistance that could help tenants transition from renting to ownership?</w:t>
      </w:r>
    </w:p>
    <w:p w14:paraId="3B1A9D69" w14:textId="77777777" w:rsidR="007654F6" w:rsidRPr="007654F6" w:rsidRDefault="007654F6" w:rsidP="007654F6">
      <w:pPr>
        <w:numPr>
          <w:ilvl w:val="0"/>
          <w:numId w:val="2"/>
        </w:numPr>
      </w:pPr>
      <w:r w:rsidRPr="007654F6">
        <w:rPr>
          <w:b/>
          <w:bCs/>
        </w:rPr>
        <w:t>Program Design and Structure</w:t>
      </w:r>
      <w:r w:rsidRPr="007654F6">
        <w:t>:</w:t>
      </w:r>
    </w:p>
    <w:p w14:paraId="07159625" w14:textId="77777777" w:rsidR="007654F6" w:rsidRPr="007654F6" w:rsidRDefault="007654F6" w:rsidP="007654F6">
      <w:pPr>
        <w:numPr>
          <w:ilvl w:val="1"/>
          <w:numId w:val="2"/>
        </w:numPr>
      </w:pPr>
      <w:r w:rsidRPr="007654F6">
        <w:t>How are tenant purchase options currently structured within these projects? Are there any common features that may hinder tenant success (e.g., timelines for exercising the option)?</w:t>
      </w:r>
    </w:p>
    <w:p w14:paraId="622DCA7A" w14:textId="77777777" w:rsidR="007654F6" w:rsidRPr="007654F6" w:rsidRDefault="007654F6" w:rsidP="007654F6">
      <w:pPr>
        <w:numPr>
          <w:ilvl w:val="1"/>
          <w:numId w:val="2"/>
        </w:numPr>
      </w:pPr>
      <w:r w:rsidRPr="007654F6">
        <w:t>Are there alternative purchase models (e.g., shared equity, co-ops) that could improve outcomes for tenants?</w:t>
      </w:r>
    </w:p>
    <w:p w14:paraId="11BD9DA3" w14:textId="77777777" w:rsidR="007654F6" w:rsidRPr="007654F6" w:rsidRDefault="007654F6" w:rsidP="007654F6">
      <w:pPr>
        <w:numPr>
          <w:ilvl w:val="1"/>
          <w:numId w:val="2"/>
        </w:numPr>
      </w:pPr>
      <w:r w:rsidRPr="007654F6">
        <w:t>How can the Commission ensure flexibility in the purchase options to accommodate tenants with varying financial situations?</w:t>
      </w:r>
    </w:p>
    <w:p w14:paraId="32553E99" w14:textId="77777777" w:rsidR="007654F6" w:rsidRPr="007654F6" w:rsidRDefault="007654F6" w:rsidP="007654F6">
      <w:pPr>
        <w:numPr>
          <w:ilvl w:val="0"/>
          <w:numId w:val="2"/>
        </w:numPr>
      </w:pPr>
      <w:r w:rsidRPr="007654F6">
        <w:rPr>
          <w:b/>
          <w:bCs/>
        </w:rPr>
        <w:t>Support and Resources</w:t>
      </w:r>
      <w:r w:rsidRPr="007654F6">
        <w:t>:</w:t>
      </w:r>
    </w:p>
    <w:p w14:paraId="0B4F38E5" w14:textId="77777777" w:rsidR="007654F6" w:rsidRPr="007654F6" w:rsidRDefault="007654F6" w:rsidP="007654F6">
      <w:pPr>
        <w:numPr>
          <w:ilvl w:val="1"/>
          <w:numId w:val="2"/>
        </w:numPr>
      </w:pPr>
      <w:r w:rsidRPr="007654F6">
        <w:t>What kinds of financial education or homeownership support services are available to tenants? Are these adequate?</w:t>
      </w:r>
    </w:p>
    <w:p w14:paraId="79465D57" w14:textId="77777777" w:rsidR="007654F6" w:rsidRPr="007654F6" w:rsidRDefault="007654F6" w:rsidP="007654F6">
      <w:pPr>
        <w:numPr>
          <w:ilvl w:val="1"/>
          <w:numId w:val="2"/>
        </w:numPr>
      </w:pPr>
      <w:r w:rsidRPr="007654F6">
        <w:t>Are there partnerships with nonprofits, local governments, or financial institutions that could enhance the support available to tenants?</w:t>
      </w:r>
    </w:p>
    <w:p w14:paraId="1B77BCA2" w14:textId="77777777" w:rsidR="007654F6" w:rsidRPr="007654F6" w:rsidRDefault="007654F6" w:rsidP="007654F6">
      <w:pPr>
        <w:numPr>
          <w:ilvl w:val="1"/>
          <w:numId w:val="2"/>
        </w:numPr>
      </w:pPr>
      <w:r w:rsidRPr="007654F6">
        <w:t>How can the Commission provide ongoing support after purchase to ensure long-term homeownership success?</w:t>
      </w:r>
    </w:p>
    <w:p w14:paraId="5B8C473A" w14:textId="77777777" w:rsidR="007654F6" w:rsidRPr="007654F6" w:rsidRDefault="007654F6" w:rsidP="007654F6">
      <w:pPr>
        <w:numPr>
          <w:ilvl w:val="0"/>
          <w:numId w:val="2"/>
        </w:numPr>
      </w:pPr>
      <w:r w:rsidRPr="007654F6">
        <w:rPr>
          <w:b/>
          <w:bCs/>
        </w:rPr>
        <w:t>Tenant Engagement and Communication</w:t>
      </w:r>
      <w:r w:rsidRPr="007654F6">
        <w:t>:</w:t>
      </w:r>
    </w:p>
    <w:p w14:paraId="2F9554A3" w14:textId="77777777" w:rsidR="007654F6" w:rsidRPr="007654F6" w:rsidRDefault="007654F6" w:rsidP="007654F6">
      <w:pPr>
        <w:numPr>
          <w:ilvl w:val="1"/>
          <w:numId w:val="2"/>
        </w:numPr>
      </w:pPr>
      <w:r w:rsidRPr="007654F6">
        <w:t>How well are tenants informed about their purchase options and the steps required to exercise them?</w:t>
      </w:r>
    </w:p>
    <w:p w14:paraId="0EDCBF85" w14:textId="77777777" w:rsidR="007654F6" w:rsidRPr="007654F6" w:rsidRDefault="007654F6" w:rsidP="007654F6">
      <w:pPr>
        <w:numPr>
          <w:ilvl w:val="1"/>
          <w:numId w:val="2"/>
        </w:numPr>
      </w:pPr>
      <w:r w:rsidRPr="007654F6">
        <w:t>What communication strategies could improve tenants' understanding and engagement with the purchase process?</w:t>
      </w:r>
    </w:p>
    <w:p w14:paraId="45ABFDAD" w14:textId="77777777" w:rsidR="007654F6" w:rsidRPr="007654F6" w:rsidRDefault="007654F6" w:rsidP="007654F6">
      <w:pPr>
        <w:numPr>
          <w:ilvl w:val="1"/>
          <w:numId w:val="2"/>
        </w:numPr>
      </w:pPr>
      <w:r w:rsidRPr="007654F6">
        <w:t>Are there ways to involve tenants earlier in decision-making to better tailor the purchase options to their needs?</w:t>
      </w:r>
    </w:p>
    <w:p w14:paraId="722F9DB3" w14:textId="77777777" w:rsidR="007654F6" w:rsidRPr="007654F6" w:rsidRDefault="007654F6" w:rsidP="007654F6">
      <w:pPr>
        <w:numPr>
          <w:ilvl w:val="0"/>
          <w:numId w:val="2"/>
        </w:numPr>
      </w:pPr>
      <w:r w:rsidRPr="007654F6">
        <w:rPr>
          <w:b/>
          <w:bCs/>
        </w:rPr>
        <w:t>Long-Term Outcomes</w:t>
      </w:r>
      <w:r w:rsidRPr="007654F6">
        <w:t>:</w:t>
      </w:r>
    </w:p>
    <w:p w14:paraId="27C1E3A6" w14:textId="77777777" w:rsidR="007654F6" w:rsidRPr="007654F6" w:rsidRDefault="007654F6" w:rsidP="007654F6">
      <w:pPr>
        <w:numPr>
          <w:ilvl w:val="1"/>
          <w:numId w:val="2"/>
        </w:numPr>
      </w:pPr>
      <w:r w:rsidRPr="007654F6">
        <w:lastRenderedPageBreak/>
        <w:t>What has been the success rate of tenants who have exercised purchase options in similar projects? What can be learned from their experiences?</w:t>
      </w:r>
    </w:p>
    <w:p w14:paraId="54472873" w14:textId="77777777" w:rsidR="007654F6" w:rsidRPr="007654F6" w:rsidRDefault="007654F6" w:rsidP="007654F6">
      <w:pPr>
        <w:numPr>
          <w:ilvl w:val="1"/>
          <w:numId w:val="2"/>
        </w:numPr>
      </w:pPr>
      <w:r w:rsidRPr="007654F6">
        <w:t>How can the Commission track and evaluate long-term outcomes (e.g., financial stability, homeownership retention, tenant satisfaction)?</w:t>
      </w:r>
    </w:p>
    <w:p w14:paraId="48E7B91D" w14:textId="77777777" w:rsidR="007654F6" w:rsidRPr="007654F6" w:rsidRDefault="007654F6" w:rsidP="007654F6">
      <w:pPr>
        <w:numPr>
          <w:ilvl w:val="1"/>
          <w:numId w:val="2"/>
        </w:numPr>
      </w:pPr>
      <w:r w:rsidRPr="007654F6">
        <w:t xml:space="preserve">What are the risks </w:t>
      </w:r>
      <w:proofErr w:type="gramStart"/>
      <w:r w:rsidRPr="007654F6">
        <w:t>to</w:t>
      </w:r>
      <w:proofErr w:type="gramEnd"/>
      <w:r w:rsidRPr="007654F6">
        <w:t xml:space="preserve"> tenants (e.g., foreclosure, property maintenance costs) after they exercise their purchase options, and how can these risks be mitigated?</w:t>
      </w:r>
    </w:p>
    <w:p w14:paraId="7CB5789B" w14:textId="77777777" w:rsidR="007654F6" w:rsidRPr="007654F6" w:rsidRDefault="007654F6" w:rsidP="007654F6">
      <w:r w:rsidRPr="007654F6">
        <w:t xml:space="preserve">These </w:t>
      </w:r>
      <w:proofErr w:type="spellStart"/>
      <w:r w:rsidRPr="007654F6">
        <w:t>subquestions</w:t>
      </w:r>
      <w:proofErr w:type="spellEnd"/>
      <w:r w:rsidRPr="007654F6">
        <w:t xml:space="preserve"> will help provide a comprehensive evaluation of how to improve tenant outcomes through purchase options.</w:t>
      </w:r>
    </w:p>
    <w:p w14:paraId="58E0C1CD" w14:textId="77777777" w:rsidR="007654F6" w:rsidRPr="007654F6" w:rsidRDefault="007654F6" w:rsidP="007654F6">
      <w:pPr>
        <w:rPr>
          <w:vanish/>
        </w:rPr>
      </w:pPr>
      <w:r w:rsidRPr="007654F6">
        <w:rPr>
          <w:vanish/>
        </w:rPr>
        <w:t>Top of Form</w:t>
      </w:r>
    </w:p>
    <w:p w14:paraId="4177BA1A" w14:textId="77777777" w:rsidR="007654F6" w:rsidRPr="007654F6" w:rsidRDefault="007654F6" w:rsidP="007654F6">
      <w:pPr>
        <w:rPr>
          <w:vanish/>
        </w:rPr>
      </w:pPr>
      <w:r w:rsidRPr="007654F6">
        <w:rPr>
          <w:vanish/>
        </w:rPr>
        <w:t>Bottom of Form</w:t>
      </w:r>
    </w:p>
    <w:p w14:paraId="292B4F1D" w14:textId="77777777" w:rsidR="007654F6" w:rsidRPr="007654F6" w:rsidRDefault="007654F6" w:rsidP="007654F6">
      <w:r w:rsidRPr="007654F6">
        <w:t>ChatGPT can make mistakes. Check important info.</w:t>
      </w:r>
    </w:p>
    <w:p w14:paraId="6D2E8828" w14:textId="77777777" w:rsidR="004C372F" w:rsidRDefault="004C372F"/>
    <w:sectPr w:rsidR="004C37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Scott (SAO)" w:date="2025-08-27T12:24:00Z" w:initials="SF">
    <w:p w14:paraId="7D9F77B5" w14:textId="77777777" w:rsidR="00BA5B6B" w:rsidRDefault="00D94698" w:rsidP="00BA5B6B">
      <w:pPr>
        <w:pStyle w:val="CommentText"/>
      </w:pPr>
      <w:r>
        <w:rPr>
          <w:rStyle w:val="CommentReference"/>
        </w:rPr>
        <w:annotationRef/>
      </w:r>
      <w:r w:rsidR="00BA5B6B">
        <w:t>Document included in folder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D9F77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A2D9F9" w16cex:dateUtc="2025-08-27T1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D9F77B5" w16cid:durableId="12A2D9F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6683D"/>
    <w:multiLevelType w:val="multilevel"/>
    <w:tmpl w:val="54B638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AE5A5B"/>
    <w:multiLevelType w:val="multilevel"/>
    <w:tmpl w:val="34805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758823">
    <w:abstractNumId w:val="1"/>
  </w:num>
  <w:num w:numId="2" w16cid:durableId="163921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Scott (SAO)">
    <w15:presenceInfo w15:providerId="AD" w15:userId="S::franks@sao.wa.gov::3fb69522-f348-43f2-9a59-2c6281e4f6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BC5"/>
    <w:rsid w:val="00294BC5"/>
    <w:rsid w:val="00336135"/>
    <w:rsid w:val="004C372F"/>
    <w:rsid w:val="007654F6"/>
    <w:rsid w:val="00BA5B6B"/>
    <w:rsid w:val="00C00D29"/>
    <w:rsid w:val="00D94698"/>
    <w:rsid w:val="00F77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4DF5B"/>
  <w15:chartTrackingRefBased/>
  <w15:docId w15:val="{2269EA2C-DA25-4E53-AB00-261C95578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4B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4B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4B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4B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4B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4B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4B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4B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4B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4B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4B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4B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4B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4B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4B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4B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4B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4BC5"/>
    <w:rPr>
      <w:rFonts w:eastAsiaTheme="majorEastAsia" w:cstheme="majorBidi"/>
      <w:color w:val="272727" w:themeColor="text1" w:themeTint="D8"/>
    </w:rPr>
  </w:style>
  <w:style w:type="paragraph" w:styleId="Title">
    <w:name w:val="Title"/>
    <w:basedOn w:val="Normal"/>
    <w:next w:val="Normal"/>
    <w:link w:val="TitleChar"/>
    <w:uiPriority w:val="10"/>
    <w:qFormat/>
    <w:rsid w:val="00294B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4B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4B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4B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4BC5"/>
    <w:pPr>
      <w:spacing w:before="160"/>
      <w:jc w:val="center"/>
    </w:pPr>
    <w:rPr>
      <w:i/>
      <w:iCs/>
      <w:color w:val="404040" w:themeColor="text1" w:themeTint="BF"/>
    </w:rPr>
  </w:style>
  <w:style w:type="character" w:customStyle="1" w:styleId="QuoteChar">
    <w:name w:val="Quote Char"/>
    <w:basedOn w:val="DefaultParagraphFont"/>
    <w:link w:val="Quote"/>
    <w:uiPriority w:val="29"/>
    <w:rsid w:val="00294BC5"/>
    <w:rPr>
      <w:i/>
      <w:iCs/>
      <w:color w:val="404040" w:themeColor="text1" w:themeTint="BF"/>
    </w:rPr>
  </w:style>
  <w:style w:type="paragraph" w:styleId="ListParagraph">
    <w:name w:val="List Paragraph"/>
    <w:basedOn w:val="Normal"/>
    <w:uiPriority w:val="34"/>
    <w:qFormat/>
    <w:rsid w:val="00294BC5"/>
    <w:pPr>
      <w:ind w:left="720"/>
      <w:contextualSpacing/>
    </w:pPr>
  </w:style>
  <w:style w:type="character" w:styleId="IntenseEmphasis">
    <w:name w:val="Intense Emphasis"/>
    <w:basedOn w:val="DefaultParagraphFont"/>
    <w:uiPriority w:val="21"/>
    <w:qFormat/>
    <w:rsid w:val="00294BC5"/>
    <w:rPr>
      <w:i/>
      <w:iCs/>
      <w:color w:val="0F4761" w:themeColor="accent1" w:themeShade="BF"/>
    </w:rPr>
  </w:style>
  <w:style w:type="paragraph" w:styleId="IntenseQuote">
    <w:name w:val="Intense Quote"/>
    <w:basedOn w:val="Normal"/>
    <w:next w:val="Normal"/>
    <w:link w:val="IntenseQuoteChar"/>
    <w:uiPriority w:val="30"/>
    <w:qFormat/>
    <w:rsid w:val="00294B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4BC5"/>
    <w:rPr>
      <w:i/>
      <w:iCs/>
      <w:color w:val="0F4761" w:themeColor="accent1" w:themeShade="BF"/>
    </w:rPr>
  </w:style>
  <w:style w:type="character" w:styleId="IntenseReference">
    <w:name w:val="Intense Reference"/>
    <w:basedOn w:val="DefaultParagraphFont"/>
    <w:uiPriority w:val="32"/>
    <w:qFormat/>
    <w:rsid w:val="00294BC5"/>
    <w:rPr>
      <w:b/>
      <w:bCs/>
      <w:smallCaps/>
      <w:color w:val="0F4761" w:themeColor="accent1" w:themeShade="BF"/>
      <w:spacing w:val="5"/>
    </w:rPr>
  </w:style>
  <w:style w:type="character" w:styleId="Hyperlink">
    <w:name w:val="Hyperlink"/>
    <w:basedOn w:val="DefaultParagraphFont"/>
    <w:uiPriority w:val="99"/>
    <w:unhideWhenUsed/>
    <w:rsid w:val="007654F6"/>
    <w:rPr>
      <w:color w:val="467886" w:themeColor="hyperlink"/>
      <w:u w:val="single"/>
    </w:rPr>
  </w:style>
  <w:style w:type="character" w:styleId="UnresolvedMention">
    <w:name w:val="Unresolved Mention"/>
    <w:basedOn w:val="DefaultParagraphFont"/>
    <w:uiPriority w:val="99"/>
    <w:semiHidden/>
    <w:unhideWhenUsed/>
    <w:rsid w:val="007654F6"/>
    <w:rPr>
      <w:color w:val="605E5C"/>
      <w:shd w:val="clear" w:color="auto" w:fill="E1DFDD"/>
    </w:rPr>
  </w:style>
  <w:style w:type="character" w:styleId="CommentReference">
    <w:name w:val="annotation reference"/>
    <w:basedOn w:val="DefaultParagraphFont"/>
    <w:uiPriority w:val="99"/>
    <w:semiHidden/>
    <w:unhideWhenUsed/>
    <w:rsid w:val="00D94698"/>
    <w:rPr>
      <w:sz w:val="16"/>
      <w:szCs w:val="16"/>
    </w:rPr>
  </w:style>
  <w:style w:type="paragraph" w:styleId="CommentText">
    <w:name w:val="annotation text"/>
    <w:basedOn w:val="Normal"/>
    <w:link w:val="CommentTextChar"/>
    <w:uiPriority w:val="99"/>
    <w:unhideWhenUsed/>
    <w:rsid w:val="00D94698"/>
    <w:pPr>
      <w:spacing w:line="240" w:lineRule="auto"/>
    </w:pPr>
    <w:rPr>
      <w:sz w:val="20"/>
      <w:szCs w:val="20"/>
    </w:rPr>
  </w:style>
  <w:style w:type="character" w:customStyle="1" w:styleId="CommentTextChar">
    <w:name w:val="Comment Text Char"/>
    <w:basedOn w:val="DefaultParagraphFont"/>
    <w:link w:val="CommentText"/>
    <w:uiPriority w:val="99"/>
    <w:rsid w:val="00D94698"/>
    <w:rPr>
      <w:sz w:val="20"/>
      <w:szCs w:val="20"/>
    </w:rPr>
  </w:style>
  <w:style w:type="paragraph" w:styleId="CommentSubject">
    <w:name w:val="annotation subject"/>
    <w:basedOn w:val="CommentText"/>
    <w:next w:val="CommentText"/>
    <w:link w:val="CommentSubjectChar"/>
    <w:uiPriority w:val="99"/>
    <w:semiHidden/>
    <w:unhideWhenUsed/>
    <w:rsid w:val="00D94698"/>
    <w:rPr>
      <w:b/>
      <w:bCs/>
    </w:rPr>
  </w:style>
  <w:style w:type="character" w:customStyle="1" w:styleId="CommentSubjectChar">
    <w:name w:val="Comment Subject Char"/>
    <w:basedOn w:val="CommentTextChar"/>
    <w:link w:val="CommentSubject"/>
    <w:uiPriority w:val="99"/>
    <w:semiHidden/>
    <w:rsid w:val="00D946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4</Pages>
  <Words>878</Words>
  <Characters>5005</Characters>
  <Application>Microsoft Office Word</Application>
  <DocSecurity>0</DocSecurity>
  <Lines>41</Lines>
  <Paragraphs>11</Paragraphs>
  <ScaleCrop>false</ScaleCrop>
  <Company>Washington State Auditor's Office</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Scott (SAO)</dc:creator>
  <cp:keywords/>
  <dc:description/>
  <cp:lastModifiedBy>Frank, Scott (SAO)</cp:lastModifiedBy>
  <cp:revision>4</cp:revision>
  <dcterms:created xsi:type="dcterms:W3CDTF">2025-08-27T19:20:00Z</dcterms:created>
  <dcterms:modified xsi:type="dcterms:W3CDTF">2025-09-02T19:25:00Z</dcterms:modified>
</cp:coreProperties>
</file>